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DE5CBC" w14:textId="77777777" w:rsidR="00F5546F" w:rsidRDefault="00F5546F" w:rsidP="00F5546F">
      <w:pPr>
        <w:spacing w:line="0" w:lineRule="atLeast"/>
        <w:jc w:val="center"/>
        <w:rPr>
          <w:rFonts w:ascii="標楷體" w:eastAsia="標楷體" w:hAnsi="標楷體"/>
          <w:b/>
          <w:sz w:val="36"/>
          <w:szCs w:val="36"/>
        </w:rPr>
      </w:pPr>
      <w:r>
        <w:rPr>
          <w:rFonts w:ascii="標楷體" w:eastAsia="標楷體" w:hAnsi="標楷體"/>
          <w:b/>
          <w:sz w:val="36"/>
          <w:szCs w:val="36"/>
        </w:rPr>
        <w:t>切  結  書</w:t>
      </w:r>
    </w:p>
    <w:p w14:paraId="559852BD" w14:textId="77777777" w:rsidR="00F5546F" w:rsidRDefault="00F5546F" w:rsidP="00F5546F">
      <w:pPr>
        <w:spacing w:line="0" w:lineRule="atLeast"/>
        <w:jc w:val="center"/>
        <w:rPr>
          <w:rFonts w:ascii="標楷體" w:eastAsia="標楷體" w:hAnsi="標楷體"/>
          <w:b/>
          <w:sz w:val="36"/>
          <w:szCs w:val="36"/>
        </w:rPr>
      </w:pPr>
    </w:p>
    <w:p w14:paraId="4FAB1093" w14:textId="77777777" w:rsidR="00F5546F" w:rsidRDefault="00F5546F" w:rsidP="00F5546F">
      <w:pPr>
        <w:spacing w:line="0" w:lineRule="atLeast"/>
      </w:pPr>
      <w:r>
        <w:rPr>
          <w:rFonts w:ascii="標楷體" w:eastAsia="標楷體" w:hAnsi="標楷體"/>
          <w:sz w:val="28"/>
          <w:szCs w:val="28"/>
        </w:rPr>
        <w:t>依行政院農業委員會訂定之</w:t>
      </w:r>
      <w:r>
        <w:rPr>
          <w:rFonts w:ascii="標楷體" w:eastAsia="標楷體" w:hAnsi="標楷體"/>
          <w:b/>
          <w:sz w:val="28"/>
          <w:szCs w:val="28"/>
        </w:rPr>
        <w:t>申請農業用地作農業設施容許用審查辦法</w:t>
      </w:r>
      <w:r>
        <w:rPr>
          <w:rFonts w:ascii="標楷體" w:eastAsia="標楷體" w:hAnsi="標楷體"/>
          <w:sz w:val="28"/>
          <w:szCs w:val="28"/>
        </w:rPr>
        <w:t>第33條規定：「依本辦法取得農業用地作農業設施容許使用者，應依原核定之計畫內容使用，並</w:t>
      </w:r>
      <w:r>
        <w:rPr>
          <w:rFonts w:ascii="標楷體" w:eastAsia="標楷體" w:hAnsi="標楷體"/>
          <w:b/>
          <w:sz w:val="28"/>
          <w:szCs w:val="28"/>
        </w:rPr>
        <w:t>不得作為住宅、工廠或其他非農業使用</w:t>
      </w:r>
      <w:r>
        <w:rPr>
          <w:rFonts w:ascii="標楷體" w:eastAsia="標楷體" w:hAnsi="標楷體"/>
          <w:sz w:val="28"/>
          <w:szCs w:val="28"/>
        </w:rPr>
        <w:t>。直轄市或縣（市）主管機關應對取得容許使用之農業設施及其坐落之農業用地造冊列管，並視實際需要抽查是否依核定計畫內容使用；</w:t>
      </w:r>
      <w:r>
        <w:rPr>
          <w:rFonts w:ascii="標楷體" w:eastAsia="標楷體" w:hAnsi="標楷體"/>
          <w:b/>
          <w:sz w:val="28"/>
          <w:szCs w:val="28"/>
        </w:rPr>
        <w:t>未依計畫內容使用者，原核定機關得廢止其許可，並通知區域計畫或都市計畫主管機關依相關規定處理。</w:t>
      </w:r>
      <w:r>
        <w:rPr>
          <w:rFonts w:ascii="標楷體" w:eastAsia="標楷體" w:hAnsi="標楷體"/>
          <w:sz w:val="28"/>
          <w:szCs w:val="28"/>
        </w:rPr>
        <w:t>但配合政策休耕、休養、停養者，不在此限。」。建築執照及使用執照部分另依內政部94年12月8日台內營字第0940011948號函及行政程序法相關規定辦理廢止。</w:t>
      </w:r>
    </w:p>
    <w:p w14:paraId="70A7B12A" w14:textId="77777777" w:rsidR="00F5546F" w:rsidRDefault="00F5546F" w:rsidP="00F5546F">
      <w:pPr>
        <w:spacing w:line="0" w:lineRule="atLeast"/>
        <w:rPr>
          <w:rFonts w:ascii="標楷體" w:eastAsia="標楷體" w:hAnsi="標楷體"/>
          <w:sz w:val="28"/>
          <w:szCs w:val="28"/>
        </w:rPr>
      </w:pPr>
    </w:p>
    <w:p w14:paraId="6C448952" w14:textId="77777777" w:rsidR="00F5546F" w:rsidRDefault="00F5546F" w:rsidP="00F5546F">
      <w:pPr>
        <w:spacing w:line="0" w:lineRule="atLeast"/>
      </w:pPr>
      <w:r>
        <w:rPr>
          <w:rFonts w:ascii="標楷體" w:eastAsia="標楷體" w:hAnsi="標楷體"/>
          <w:b/>
          <w:sz w:val="28"/>
          <w:szCs w:val="28"/>
        </w:rPr>
        <w:t>區域計畫法</w:t>
      </w:r>
      <w:r>
        <w:rPr>
          <w:rFonts w:ascii="標楷體" w:eastAsia="標楷體" w:hAnsi="標楷體"/>
          <w:sz w:val="28"/>
          <w:szCs w:val="28"/>
        </w:rPr>
        <w:t>（民國89年1月26日修正）</w:t>
      </w:r>
    </w:p>
    <w:p w14:paraId="1C5512BE" w14:textId="77777777" w:rsidR="00F5546F" w:rsidRDefault="00F5546F" w:rsidP="00F5546F">
      <w:pPr>
        <w:spacing w:line="0" w:lineRule="atLeast"/>
        <w:ind w:left="1260" w:hanging="1260"/>
      </w:pPr>
      <w:r>
        <w:rPr>
          <w:rFonts w:ascii="標楷體" w:eastAsia="標楷體" w:hAnsi="標楷體"/>
          <w:sz w:val="28"/>
          <w:szCs w:val="28"/>
        </w:rPr>
        <w:t xml:space="preserve">第21條  </w:t>
      </w:r>
      <w:r>
        <w:rPr>
          <w:rFonts w:ascii="標楷體" w:eastAsia="標楷體" w:hAnsi="標楷體"/>
          <w:spacing w:val="15"/>
          <w:sz w:val="28"/>
          <w:szCs w:val="28"/>
        </w:rPr>
        <w:t>違反第十五條第一項之管制使用土地者，由該管直轄市、縣（市）政府處新臺幣六萬元以上三十萬元以下罰鍰，並得限期令其變更使用、停止使用或拆除其地上物恢復原狀。</w:t>
      </w:r>
    </w:p>
    <w:p w14:paraId="06BCB18F" w14:textId="77777777" w:rsidR="00F5546F" w:rsidRDefault="00F5546F" w:rsidP="00F5546F">
      <w:pPr>
        <w:spacing w:line="0" w:lineRule="atLeast"/>
        <w:ind w:left="1260"/>
        <w:rPr>
          <w:rFonts w:ascii="標楷體" w:eastAsia="標楷體" w:hAnsi="標楷體"/>
          <w:spacing w:val="15"/>
          <w:sz w:val="28"/>
          <w:szCs w:val="28"/>
        </w:rPr>
      </w:pPr>
      <w:r>
        <w:rPr>
          <w:rFonts w:ascii="標楷體" w:eastAsia="標楷體" w:hAnsi="標楷體"/>
          <w:spacing w:val="15"/>
          <w:sz w:val="28"/>
          <w:szCs w:val="28"/>
        </w:rPr>
        <w:t>前項情形經限期變更使用、停止使用或拆除地上物恢復原狀而不遵從者，得按次處罰，並停止供水、供電、封閉、強制拆除或採取其他恢復原狀之措施，其費用由土地或地上物所有人、使用人或管理人負擔。</w:t>
      </w:r>
    </w:p>
    <w:p w14:paraId="0FF466B6" w14:textId="77777777" w:rsidR="00F5546F" w:rsidRDefault="00F5546F" w:rsidP="00F5546F">
      <w:pPr>
        <w:spacing w:line="0" w:lineRule="atLeast"/>
        <w:ind w:left="1260"/>
        <w:rPr>
          <w:rFonts w:ascii="標楷體" w:eastAsia="標楷體" w:hAnsi="標楷體"/>
          <w:spacing w:val="15"/>
          <w:sz w:val="28"/>
          <w:szCs w:val="28"/>
        </w:rPr>
      </w:pPr>
      <w:r>
        <w:rPr>
          <w:rFonts w:ascii="標楷體" w:eastAsia="標楷體" w:hAnsi="標楷體"/>
          <w:spacing w:val="15"/>
          <w:sz w:val="28"/>
          <w:szCs w:val="28"/>
        </w:rPr>
        <w:t>前二項罰鍰，經限期繳納逾期不繳納者，移送法院強制執行。</w:t>
      </w:r>
    </w:p>
    <w:p w14:paraId="2E150A97" w14:textId="77777777" w:rsidR="00F5546F" w:rsidRDefault="00F5546F" w:rsidP="00F5546F">
      <w:pPr>
        <w:spacing w:line="0" w:lineRule="atLeast"/>
        <w:ind w:left="1260"/>
        <w:rPr>
          <w:rFonts w:ascii="標楷體" w:eastAsia="標楷體" w:hAnsi="標楷體"/>
          <w:spacing w:val="15"/>
          <w:sz w:val="28"/>
          <w:szCs w:val="28"/>
        </w:rPr>
      </w:pPr>
    </w:p>
    <w:p w14:paraId="78441EB7" w14:textId="77777777" w:rsidR="00F5546F" w:rsidRDefault="00F5546F" w:rsidP="00F5546F">
      <w:pPr>
        <w:spacing w:line="0" w:lineRule="atLeast"/>
        <w:ind w:left="1259" w:hanging="1259"/>
        <w:rPr>
          <w:rFonts w:ascii="標楷體" w:eastAsia="標楷體" w:hAnsi="標楷體"/>
          <w:spacing w:val="15"/>
          <w:sz w:val="28"/>
          <w:szCs w:val="28"/>
        </w:rPr>
      </w:pPr>
      <w:r>
        <w:rPr>
          <w:rFonts w:ascii="標楷體" w:eastAsia="標楷體" w:hAnsi="標楷體"/>
          <w:spacing w:val="15"/>
          <w:sz w:val="28"/>
          <w:szCs w:val="28"/>
        </w:rPr>
        <w:t>第22條 違反前條規定不依限變更土地使用或拆除建築物恢復土地原狀者，除依行政執行法辦理外，並得處六個月以下有期徒刑或拘役。</w:t>
      </w:r>
    </w:p>
    <w:p w14:paraId="685B46D8" w14:textId="77777777" w:rsidR="00F5546F" w:rsidRDefault="00F5546F" w:rsidP="00F5546F">
      <w:pPr>
        <w:spacing w:line="0" w:lineRule="atLeast"/>
        <w:ind w:left="1259" w:hanging="1259"/>
        <w:rPr>
          <w:rFonts w:ascii="標楷體" w:eastAsia="標楷體" w:hAnsi="標楷體"/>
          <w:spacing w:val="15"/>
          <w:sz w:val="28"/>
          <w:szCs w:val="28"/>
        </w:rPr>
      </w:pPr>
    </w:p>
    <w:p w14:paraId="10B9A9C2" w14:textId="2C47FD0F" w:rsidR="00F5546F" w:rsidRDefault="00F5546F" w:rsidP="00F5546F">
      <w:pPr>
        <w:spacing w:line="0" w:lineRule="atLeast"/>
        <w:ind w:left="1"/>
      </w:pPr>
      <w:r>
        <w:rPr>
          <w:rFonts w:ascii="標楷體" w:eastAsia="標楷體" w:hAnsi="標楷體"/>
          <w:spacing w:val="15"/>
          <w:sz w:val="28"/>
          <w:szCs w:val="28"/>
          <w:lang w:eastAsia="zh-HK"/>
        </w:rPr>
        <w:t>查農業發展條例施行細則第</w:t>
      </w:r>
      <w:r>
        <w:rPr>
          <w:rFonts w:ascii="標楷體" w:eastAsia="標楷體" w:hAnsi="標楷體"/>
          <w:spacing w:val="15"/>
          <w:sz w:val="28"/>
          <w:szCs w:val="28"/>
        </w:rPr>
        <w:t>2-1</w:t>
      </w:r>
      <w:r>
        <w:rPr>
          <w:rFonts w:ascii="標楷體" w:eastAsia="標楷體" w:hAnsi="標楷體"/>
          <w:spacing w:val="15"/>
          <w:sz w:val="28"/>
          <w:szCs w:val="28"/>
          <w:lang w:eastAsia="zh-HK"/>
        </w:rPr>
        <w:t>條第</w:t>
      </w:r>
      <w:r>
        <w:rPr>
          <w:rFonts w:ascii="標楷體" w:eastAsia="標楷體" w:hAnsi="標楷體"/>
          <w:spacing w:val="15"/>
          <w:sz w:val="28"/>
          <w:szCs w:val="28"/>
        </w:rPr>
        <w:t>1</w:t>
      </w:r>
      <w:r>
        <w:rPr>
          <w:rFonts w:ascii="標楷體" w:eastAsia="標楷體" w:hAnsi="標楷體"/>
          <w:spacing w:val="15"/>
          <w:sz w:val="28"/>
          <w:szCs w:val="28"/>
          <w:lang w:eastAsia="zh-HK"/>
        </w:rPr>
        <w:t>項規定</w:t>
      </w:r>
      <w:r>
        <w:rPr>
          <w:rFonts w:ascii="標楷體" w:eastAsia="標楷體" w:hAnsi="標楷體"/>
          <w:spacing w:val="15"/>
          <w:sz w:val="28"/>
          <w:szCs w:val="28"/>
        </w:rPr>
        <w:t>：「</w:t>
      </w:r>
      <w:r>
        <w:rPr>
          <w:rFonts w:ascii="標楷體" w:eastAsia="標楷體" w:hAnsi="標楷體"/>
          <w:spacing w:val="15"/>
          <w:sz w:val="28"/>
          <w:szCs w:val="28"/>
          <w:lang w:eastAsia="zh-HK"/>
        </w:rPr>
        <w:t>前條農業用地為從事農業使用而有填土需要者，其填土土質應為適合種植農作物之土壤，不得為砂、石、磚、瓦、混凝、營建賸餘土石方、廢棄物或其他不適合種植農作物之物質。</w:t>
      </w:r>
      <w:r>
        <w:rPr>
          <w:rFonts w:ascii="標楷體" w:eastAsia="標楷體" w:hAnsi="標楷體"/>
          <w:spacing w:val="15"/>
          <w:sz w:val="28"/>
          <w:szCs w:val="28"/>
        </w:rPr>
        <w:t>」，</w:t>
      </w:r>
      <w:r>
        <w:rPr>
          <w:rFonts w:ascii="標楷體" w:eastAsia="標楷體" w:hAnsi="標楷體"/>
          <w:spacing w:val="15"/>
          <w:sz w:val="28"/>
          <w:szCs w:val="28"/>
          <w:lang w:eastAsia="zh-HK"/>
        </w:rPr>
        <w:t>爰此</w:t>
      </w:r>
      <w:r>
        <w:rPr>
          <w:rFonts w:ascii="標楷體" w:eastAsia="標楷體" w:hAnsi="標楷體"/>
          <w:spacing w:val="15"/>
          <w:sz w:val="28"/>
          <w:szCs w:val="28"/>
        </w:rPr>
        <w:t>，</w:t>
      </w:r>
      <w:r>
        <w:rPr>
          <w:rFonts w:ascii="標楷體" w:eastAsia="標楷體" w:hAnsi="標楷體"/>
          <w:spacing w:val="15"/>
          <w:sz w:val="28"/>
          <w:szCs w:val="28"/>
          <w:lang w:eastAsia="zh-HK"/>
        </w:rPr>
        <w:t>本案所申請之農業設施若基於建築之必要需填土增高，填土來源不得為砂、石、磚、瓦、混凝</w:t>
      </w:r>
      <w:r w:rsidR="00E87F87" w:rsidRPr="00E87F87">
        <w:rPr>
          <w:rFonts w:ascii="標楷體" w:eastAsia="標楷體" w:hAnsi="標楷體" w:hint="eastAsia"/>
          <w:spacing w:val="15"/>
          <w:sz w:val="28"/>
          <w:szCs w:val="28"/>
          <w:lang w:eastAsia="zh-HK"/>
        </w:rPr>
        <w:t>土塊</w:t>
      </w:r>
      <w:r>
        <w:rPr>
          <w:rFonts w:ascii="標楷體" w:eastAsia="標楷體" w:hAnsi="標楷體"/>
          <w:spacing w:val="15"/>
          <w:sz w:val="28"/>
          <w:szCs w:val="28"/>
          <w:lang w:eastAsia="zh-HK"/>
        </w:rPr>
        <w:t>、營建</w:t>
      </w:r>
      <w:r w:rsidR="00E87F87" w:rsidRPr="00E87F87">
        <w:rPr>
          <w:rFonts w:ascii="標楷體" w:eastAsia="標楷體" w:hAnsi="標楷體" w:hint="eastAsia"/>
          <w:spacing w:val="15"/>
          <w:sz w:val="28"/>
          <w:szCs w:val="28"/>
          <w:lang w:eastAsia="zh-HK"/>
        </w:rPr>
        <w:t>剩餘</w:t>
      </w:r>
      <w:r>
        <w:rPr>
          <w:rFonts w:ascii="標楷體" w:eastAsia="標楷體" w:hAnsi="標楷體"/>
          <w:spacing w:val="15"/>
          <w:sz w:val="28"/>
          <w:szCs w:val="28"/>
          <w:lang w:eastAsia="zh-HK"/>
        </w:rPr>
        <w:t>土石方、爐渣</w:t>
      </w:r>
      <w:r w:rsidR="00E87F87" w:rsidRPr="00E87F87">
        <w:rPr>
          <w:rFonts w:ascii="標楷體" w:eastAsia="標楷體" w:hAnsi="標楷體" w:hint="eastAsia"/>
          <w:spacing w:val="15"/>
          <w:sz w:val="28"/>
          <w:szCs w:val="28"/>
          <w:lang w:eastAsia="zh-HK"/>
        </w:rPr>
        <w:t>、廢棄物</w:t>
      </w:r>
      <w:r>
        <w:rPr>
          <w:rFonts w:ascii="標楷體" w:eastAsia="標楷體" w:hAnsi="標楷體"/>
          <w:spacing w:val="15"/>
          <w:sz w:val="28"/>
          <w:szCs w:val="28"/>
          <w:lang w:eastAsia="zh-HK"/>
        </w:rPr>
        <w:t>或其他有害物質</w:t>
      </w:r>
      <w:r w:rsidR="00E87F87">
        <w:rPr>
          <w:rFonts w:ascii="標楷體" w:eastAsia="標楷體" w:hAnsi="標楷體" w:hint="eastAsia"/>
          <w:spacing w:val="15"/>
          <w:sz w:val="28"/>
          <w:szCs w:val="28"/>
          <w:lang w:eastAsia="zh-HK"/>
        </w:rPr>
        <w:t>及</w:t>
      </w:r>
      <w:r w:rsidR="00E87F87" w:rsidRPr="00E87F87">
        <w:rPr>
          <w:rFonts w:ascii="標楷體" w:eastAsia="標楷體" w:hAnsi="標楷體" w:hint="eastAsia"/>
          <w:spacing w:val="15"/>
          <w:sz w:val="28"/>
          <w:szCs w:val="28"/>
          <w:lang w:eastAsia="zh-HK"/>
        </w:rPr>
        <w:t>其他不適合種植農作物之物質。</w:t>
      </w:r>
      <w:r>
        <w:rPr>
          <w:rFonts w:ascii="標楷體" w:eastAsia="標楷體" w:hAnsi="標楷體"/>
          <w:spacing w:val="15"/>
          <w:sz w:val="28"/>
          <w:szCs w:val="28"/>
          <w:lang w:eastAsia="zh-HK"/>
        </w:rPr>
        <w:t>。</w:t>
      </w:r>
    </w:p>
    <w:p w14:paraId="77F87ADE" w14:textId="77777777" w:rsidR="00F5546F" w:rsidRDefault="00F5546F" w:rsidP="00F5546F">
      <w:pPr>
        <w:spacing w:line="0" w:lineRule="atLeast"/>
        <w:ind w:left="1259" w:hanging="1259"/>
        <w:rPr>
          <w:rFonts w:ascii="標楷體" w:eastAsia="標楷體" w:hAnsi="標楷體"/>
          <w:spacing w:val="15"/>
          <w:sz w:val="28"/>
          <w:szCs w:val="28"/>
        </w:rPr>
      </w:pPr>
    </w:p>
    <w:p w14:paraId="72EE1D0D" w14:textId="5F805D8B" w:rsidR="00E87F87" w:rsidRPr="00E87F87" w:rsidRDefault="00F5546F" w:rsidP="00E87F87">
      <w:pPr>
        <w:numPr>
          <w:ilvl w:val="0"/>
          <w:numId w:val="1"/>
        </w:numPr>
        <w:spacing w:line="0" w:lineRule="atLeast"/>
        <w:rPr>
          <w:rFonts w:ascii="標楷體" w:eastAsia="標楷體" w:hAnsi="標楷體"/>
          <w:sz w:val="28"/>
          <w:szCs w:val="28"/>
        </w:rPr>
      </w:pPr>
      <w:r w:rsidRPr="00E87F87">
        <w:rPr>
          <w:rFonts w:ascii="標楷體" w:eastAsia="標楷體" w:hAnsi="標楷體"/>
          <w:sz w:val="28"/>
          <w:szCs w:val="28"/>
        </w:rPr>
        <w:t>申請人：</w:t>
      </w:r>
    </w:p>
    <w:p w14:paraId="2B8F742B" w14:textId="099A28A8" w:rsidR="00E87F87" w:rsidRPr="00E87F87" w:rsidRDefault="00F5546F" w:rsidP="00E87F87">
      <w:pPr>
        <w:numPr>
          <w:ilvl w:val="0"/>
          <w:numId w:val="1"/>
        </w:numPr>
        <w:spacing w:line="0" w:lineRule="atLeast"/>
        <w:rPr>
          <w:rFonts w:ascii="標楷體" w:eastAsia="標楷體" w:hAnsi="標楷體"/>
          <w:sz w:val="28"/>
          <w:szCs w:val="28"/>
        </w:rPr>
      </w:pPr>
      <w:r w:rsidRPr="00E87F87">
        <w:rPr>
          <w:rFonts w:ascii="標楷體" w:eastAsia="標楷體" w:hAnsi="標楷體"/>
          <w:sz w:val="28"/>
          <w:szCs w:val="28"/>
        </w:rPr>
        <w:t>申請容許使用項目：</w:t>
      </w:r>
    </w:p>
    <w:p w14:paraId="4A74B594" w14:textId="7C4CD655" w:rsidR="00F5546F" w:rsidRDefault="00F5546F" w:rsidP="00F5546F">
      <w:pPr>
        <w:numPr>
          <w:ilvl w:val="0"/>
          <w:numId w:val="1"/>
        </w:numPr>
        <w:spacing w:line="0" w:lineRule="atLeast"/>
        <w:rPr>
          <w:rFonts w:ascii="標楷體" w:eastAsia="標楷體" w:hAnsi="標楷體"/>
          <w:sz w:val="28"/>
          <w:szCs w:val="28"/>
        </w:rPr>
      </w:pPr>
      <w:r>
        <w:rPr>
          <w:rFonts w:ascii="標楷體" w:eastAsia="標楷體" w:hAnsi="標楷體"/>
          <w:sz w:val="28"/>
          <w:szCs w:val="28"/>
        </w:rPr>
        <w:t>土地座落：</w:t>
      </w:r>
      <w:r w:rsidR="00E87F87">
        <w:rPr>
          <w:rFonts w:ascii="標楷體" w:eastAsia="標楷體" w:hAnsi="標楷體" w:hint="eastAsia"/>
          <w:sz w:val="28"/>
          <w:szCs w:val="28"/>
        </w:rPr>
        <w:t>鹿港</w:t>
      </w:r>
      <w:r>
        <w:rPr>
          <w:rFonts w:ascii="標楷體" w:eastAsia="標楷體" w:hAnsi="標楷體"/>
          <w:sz w:val="28"/>
          <w:szCs w:val="28"/>
        </w:rPr>
        <w:t>鎮          段          地號</w:t>
      </w:r>
    </w:p>
    <w:p w14:paraId="393CB278" w14:textId="77777777" w:rsidR="00E87F87" w:rsidRDefault="00E87F87" w:rsidP="00F5546F">
      <w:pPr>
        <w:spacing w:line="0" w:lineRule="atLeast"/>
        <w:rPr>
          <w:rFonts w:ascii="標楷體" w:eastAsia="標楷體" w:hAnsi="標楷體"/>
          <w:sz w:val="28"/>
          <w:szCs w:val="28"/>
        </w:rPr>
      </w:pPr>
    </w:p>
    <w:p w14:paraId="47ABA0CC" w14:textId="77777777" w:rsidR="00E87F87" w:rsidRPr="00E87F87" w:rsidRDefault="00E87F87" w:rsidP="00F5546F">
      <w:pPr>
        <w:spacing w:line="0" w:lineRule="atLeast"/>
        <w:rPr>
          <w:rFonts w:ascii="標楷體" w:eastAsia="標楷體" w:hAnsi="標楷體"/>
          <w:sz w:val="28"/>
          <w:szCs w:val="28"/>
        </w:rPr>
      </w:pPr>
    </w:p>
    <w:p w14:paraId="0D73B4EF" w14:textId="77777777" w:rsidR="00F5546F" w:rsidRDefault="00F5546F" w:rsidP="00F5546F">
      <w:pPr>
        <w:spacing w:line="0" w:lineRule="atLeast"/>
        <w:rPr>
          <w:rFonts w:ascii="標楷體" w:eastAsia="標楷體" w:hAnsi="標楷體"/>
          <w:sz w:val="28"/>
          <w:szCs w:val="28"/>
        </w:rPr>
      </w:pPr>
      <w:r>
        <w:rPr>
          <w:rFonts w:ascii="標楷體" w:eastAsia="標楷體" w:hAnsi="標楷體"/>
          <w:sz w:val="28"/>
          <w:szCs w:val="28"/>
        </w:rPr>
        <w:t>簽名或蓋章：</w:t>
      </w:r>
    </w:p>
    <w:p w14:paraId="33503606" w14:textId="77777777" w:rsidR="00E87F87" w:rsidRDefault="00E87F87" w:rsidP="00F5546F">
      <w:pPr>
        <w:spacing w:line="0" w:lineRule="atLeast"/>
        <w:rPr>
          <w:rFonts w:ascii="標楷體" w:eastAsia="標楷體" w:hAnsi="標楷體"/>
          <w:sz w:val="28"/>
          <w:szCs w:val="28"/>
        </w:rPr>
      </w:pPr>
    </w:p>
    <w:p w14:paraId="4601C33A" w14:textId="77777777" w:rsidR="00E87F87" w:rsidRDefault="00E87F87" w:rsidP="00F5546F">
      <w:pPr>
        <w:spacing w:line="0" w:lineRule="atLeast"/>
        <w:rPr>
          <w:rFonts w:ascii="標楷體" w:eastAsia="標楷體" w:hAnsi="標楷體"/>
          <w:sz w:val="28"/>
          <w:szCs w:val="28"/>
        </w:rPr>
      </w:pPr>
    </w:p>
    <w:p w14:paraId="4CA0BBC7" w14:textId="77777777" w:rsidR="00E87F87" w:rsidRDefault="00E87F87" w:rsidP="00F5546F">
      <w:pPr>
        <w:spacing w:line="0" w:lineRule="atLeast"/>
        <w:rPr>
          <w:rFonts w:ascii="標楷體" w:eastAsia="標楷體" w:hAnsi="標楷體"/>
          <w:sz w:val="28"/>
          <w:szCs w:val="28"/>
        </w:rPr>
      </w:pPr>
    </w:p>
    <w:p w14:paraId="442B6596" w14:textId="393EEBF4" w:rsidR="00E87F87" w:rsidRDefault="00E87F87" w:rsidP="00E87F87">
      <w:pPr>
        <w:spacing w:line="0" w:lineRule="atLeast"/>
        <w:jc w:val="distribute"/>
        <w:rPr>
          <w:rFonts w:ascii="標楷體" w:eastAsia="標楷體" w:hAnsi="標楷體"/>
          <w:sz w:val="28"/>
          <w:szCs w:val="28"/>
        </w:rPr>
      </w:pPr>
      <w:r>
        <w:rPr>
          <w:rFonts w:ascii="標楷體" w:eastAsia="標楷體" w:hAnsi="標楷體" w:hint="eastAsia"/>
          <w:sz w:val="28"/>
          <w:szCs w:val="28"/>
        </w:rPr>
        <w:t>中華民國</w:t>
      </w:r>
      <w:r w:rsidR="003C16E2">
        <w:rPr>
          <w:rFonts w:ascii="標楷體" w:eastAsia="標楷體" w:hAnsi="標楷體" w:hint="eastAsia"/>
          <w:sz w:val="28"/>
          <w:szCs w:val="28"/>
        </w:rPr>
        <w:t xml:space="preserve">  </w:t>
      </w:r>
      <w:r>
        <w:rPr>
          <w:rFonts w:ascii="標楷體" w:eastAsia="標楷體" w:hAnsi="標楷體" w:hint="eastAsia"/>
          <w:sz w:val="28"/>
          <w:szCs w:val="28"/>
        </w:rPr>
        <w:t>年  月  日</w:t>
      </w:r>
    </w:p>
    <w:sectPr w:rsidR="00E87F87" w:rsidSect="00EF04DD">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49048E" w14:textId="77777777" w:rsidR="00CB3BE3" w:rsidRDefault="00CB3BE3" w:rsidP="00F5546F">
      <w:r>
        <w:separator/>
      </w:r>
    </w:p>
  </w:endnote>
  <w:endnote w:type="continuationSeparator" w:id="0">
    <w:p w14:paraId="7368E90B" w14:textId="77777777" w:rsidR="00CB3BE3" w:rsidRDefault="00CB3BE3" w:rsidP="00F554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華康粗黑體">
    <w:charset w:val="00"/>
    <w:family w:val="modern"/>
    <w:pitch w:val="fixed"/>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834335" w14:textId="77777777" w:rsidR="00CB3BE3" w:rsidRDefault="00CB3BE3" w:rsidP="00F5546F">
      <w:r>
        <w:separator/>
      </w:r>
    </w:p>
  </w:footnote>
  <w:footnote w:type="continuationSeparator" w:id="0">
    <w:p w14:paraId="376F599A" w14:textId="77777777" w:rsidR="00CB3BE3" w:rsidRDefault="00CB3BE3" w:rsidP="00F554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384D9A"/>
    <w:multiLevelType w:val="multilevel"/>
    <w:tmpl w:val="BD9E0622"/>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16cid:durableId="16619988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9B1"/>
    <w:rsid w:val="00065863"/>
    <w:rsid w:val="003349B1"/>
    <w:rsid w:val="003C16E2"/>
    <w:rsid w:val="00CB3BE3"/>
    <w:rsid w:val="00CE74F9"/>
    <w:rsid w:val="00E87F87"/>
    <w:rsid w:val="00EF04DD"/>
    <w:rsid w:val="00F5546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9EFB7E"/>
  <w15:chartTrackingRefBased/>
  <w15:docId w15:val="{04F2152F-1794-4D8D-982E-24AD481CE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2"/>
        <w:lang w:val="en-US" w:eastAsia="zh-TW"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546F"/>
    <w:pPr>
      <w:widowControl w:val="0"/>
      <w:suppressAutoHyphens/>
      <w:autoSpaceDN w:val="0"/>
      <w:textAlignment w:val="baseline"/>
    </w:pPr>
    <w:rPr>
      <w:rFonts w:ascii="Times New Roman" w:eastAsia="新細明體" w:hAnsi="Times New Roman" w:cs="Times New Roman"/>
      <w:kern w:val="3"/>
      <w:szCs w:val="24"/>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546F"/>
    <w:pPr>
      <w:tabs>
        <w:tab w:val="center" w:pos="4153"/>
        <w:tab w:val="right" w:pos="8306"/>
      </w:tabs>
      <w:snapToGrid w:val="0"/>
    </w:pPr>
    <w:rPr>
      <w:sz w:val="20"/>
      <w:szCs w:val="20"/>
    </w:rPr>
  </w:style>
  <w:style w:type="character" w:customStyle="1" w:styleId="a4">
    <w:name w:val="頁首 字元"/>
    <w:basedOn w:val="a0"/>
    <w:link w:val="a3"/>
    <w:uiPriority w:val="99"/>
    <w:rsid w:val="00F5546F"/>
    <w:rPr>
      <w:sz w:val="20"/>
      <w:szCs w:val="20"/>
    </w:rPr>
  </w:style>
  <w:style w:type="paragraph" w:styleId="a5">
    <w:name w:val="footer"/>
    <w:basedOn w:val="a"/>
    <w:link w:val="a6"/>
    <w:uiPriority w:val="99"/>
    <w:unhideWhenUsed/>
    <w:rsid w:val="00F5546F"/>
    <w:pPr>
      <w:tabs>
        <w:tab w:val="center" w:pos="4153"/>
        <w:tab w:val="right" w:pos="8306"/>
      </w:tabs>
      <w:snapToGrid w:val="0"/>
    </w:pPr>
    <w:rPr>
      <w:sz w:val="20"/>
      <w:szCs w:val="20"/>
    </w:rPr>
  </w:style>
  <w:style w:type="character" w:customStyle="1" w:styleId="a6">
    <w:name w:val="頁尾 字元"/>
    <w:basedOn w:val="a0"/>
    <w:link w:val="a5"/>
    <w:uiPriority w:val="99"/>
    <w:rsid w:val="00F5546F"/>
    <w:rPr>
      <w:sz w:val="20"/>
      <w:szCs w:val="20"/>
    </w:rPr>
  </w:style>
  <w:style w:type="paragraph" w:customStyle="1" w:styleId="a7">
    <w:name w:val="標"/>
    <w:basedOn w:val="a"/>
    <w:rsid w:val="00F5546F"/>
    <w:pPr>
      <w:snapToGrid w:val="0"/>
      <w:jc w:val="center"/>
    </w:pPr>
    <w:rPr>
      <w:rFonts w:eastAsia="華康粗黑體"/>
      <w:spacing w:val="60"/>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124</Words>
  <Characters>711</Characters>
  <Application>Microsoft Office Word</Application>
  <DocSecurity>0</DocSecurity>
  <Lines>5</Lines>
  <Paragraphs>1</Paragraphs>
  <ScaleCrop>false</ScaleCrop>
  <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4</cp:revision>
  <dcterms:created xsi:type="dcterms:W3CDTF">2024-02-02T05:46:00Z</dcterms:created>
  <dcterms:modified xsi:type="dcterms:W3CDTF">2024-07-09T01:07:00Z</dcterms:modified>
</cp:coreProperties>
</file>